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7" w:rsidRDefault="002133E7" w:rsidP="002133E7">
      <w:pPr>
        <w:pStyle w:val="ConsPlusNormal"/>
        <w:spacing w:before="220"/>
        <w:ind w:firstLine="540"/>
        <w:jc w:val="both"/>
      </w:pPr>
      <w:r>
        <w:t>5.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 порядками и стандартами медицинской помощи с учетом видов, условий и форм оказания медицинской помощи.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</w:t>
      </w:r>
      <w:proofErr w:type="gramEnd"/>
      <w:r>
        <w:t xml:space="preserve"> том числе специализированными продуктами лечебного питания, осуществляется бесплатно.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</w:t>
      </w:r>
      <w:r w:rsidRPr="000632EB">
        <w:t xml:space="preserve">препаратов, утвержденным в соответствии с Федеральным </w:t>
      </w:r>
      <w:hyperlink r:id="rId4" w:history="1">
        <w:r w:rsidRPr="000632EB">
          <w:t>законом</w:t>
        </w:r>
      </w:hyperlink>
      <w:r w:rsidRPr="000632EB">
        <w:t xml:space="preserve"> от 12 апреля 2010 г. N 61-ФЗ </w:t>
      </w:r>
      <w:r>
        <w:t>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>
        <w:t>дств гр</w:t>
      </w:r>
      <w:proofErr w:type="gramEnd"/>
      <w:r>
        <w:t>аждан, за исключением случаев, когда: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proofErr w:type="gramStart"/>
      <w:r>
        <w:t xml:space="preserve">гражданин имеет право на получение государственной социальной помощи в виде набора </w:t>
      </w:r>
      <w:r w:rsidRPr="000632EB">
        <w:t xml:space="preserve">социальных услуг в соответствии с Федеральным </w:t>
      </w:r>
      <w:hyperlink r:id="rId5" w:history="1">
        <w:r w:rsidRPr="000632EB">
          <w:t>законом</w:t>
        </w:r>
      </w:hyperlink>
      <w:r w:rsidRPr="000632EB">
        <w:t xml:space="preserve">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</w:t>
      </w:r>
      <w:proofErr w:type="gramEnd"/>
      <w:r w:rsidRPr="000632EB">
        <w:t xml:space="preserve"> </w:t>
      </w:r>
      <w:proofErr w:type="gramStart"/>
      <w:r w:rsidRPr="000632EB">
        <w:t xml:space="preserve">специализированными продуктами лечебного питания для детей-инвалидов в рамках </w:t>
      </w:r>
      <w:hyperlink r:id="rId6" w:history="1">
        <w:r w:rsidRPr="000632EB">
          <w:t>перечня</w:t>
        </w:r>
      </w:hyperlink>
      <w:r w:rsidRPr="000632EB"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23 октября 2017 г. N 2323-р, а также </w:t>
      </w:r>
      <w:hyperlink r:id="rId7" w:history="1">
        <w:r w:rsidRPr="000632EB">
          <w:t>перечня</w:t>
        </w:r>
      </w:hyperlink>
      <w:r w:rsidRPr="000632EB">
        <w:t xml:space="preserve">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</w:t>
      </w:r>
      <w:proofErr w:type="gramEnd"/>
      <w:r w:rsidRPr="000632EB">
        <w:t xml:space="preserve"> Российской Федерации от 22 октября 2016 г. N 2229-р, </w:t>
      </w:r>
      <w:hyperlink r:id="rId8" w:history="1">
        <w:r w:rsidRPr="000632EB">
          <w:t>перечня</w:t>
        </w:r>
      </w:hyperlink>
      <w:r w:rsidRPr="000632EB">
        <w:t xml:space="preserve"> специализированных продуктов лечебного питания для </w:t>
      </w:r>
      <w:r>
        <w:t>детей-инвалидов на 2018 год, утвержденного распоряжением Правительства Российской Федерации от 08 ноября 2017 г. N 2466-р;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proofErr w:type="gramStart"/>
      <w:r>
        <w:t xml:space="preserve"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</w:t>
      </w:r>
      <w:r w:rsidRPr="000632EB">
        <w:t>отпускаются по рецептам врача с 50-процентной скидкой в</w:t>
      </w:r>
      <w:proofErr w:type="gramEnd"/>
      <w:r w:rsidRPr="000632EB">
        <w:t xml:space="preserve"> </w:t>
      </w:r>
      <w:proofErr w:type="gramStart"/>
      <w:r w:rsidRPr="000632EB">
        <w:t>соответствии</w:t>
      </w:r>
      <w:proofErr w:type="gramEnd"/>
      <w:r w:rsidRPr="000632EB">
        <w:t xml:space="preserve"> с </w:t>
      </w:r>
      <w:hyperlink r:id="rId9" w:history="1">
        <w:r w:rsidRPr="000632EB">
          <w:t>Постановлением</w:t>
        </w:r>
      </w:hyperlink>
      <w:r w:rsidRPr="000632EB">
        <w:t xml:space="preserve"> Правительства Российской Федерации от 30 июля 1994 г. N 890 "О государственной поддержке </w:t>
      </w:r>
      <w:r w:rsidRPr="000632EB">
        <w:lastRenderedPageBreak/>
        <w:t xml:space="preserve">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hyperlink w:anchor="P5561" w:history="1">
        <w:proofErr w:type="gramStart"/>
        <w:r w:rsidRPr="000632EB">
          <w:t>Перечень</w:t>
        </w:r>
      </w:hyperlink>
      <w:r w:rsidRPr="000632EB"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</w:t>
      </w:r>
      <w:r>
        <w:t>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приложении 4 к Программе;</w:t>
      </w:r>
      <w:proofErr w:type="gramEnd"/>
    </w:p>
    <w:p w:rsidR="002133E7" w:rsidRDefault="002133E7" w:rsidP="002133E7">
      <w:pPr>
        <w:pStyle w:val="ConsPlusNormal"/>
        <w:spacing w:before="220"/>
        <w:ind w:firstLine="540"/>
        <w:jc w:val="both"/>
      </w:pPr>
      <w: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proofErr w:type="gramStart"/>
      <w: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>
        <w:t xml:space="preserve"> </w:t>
      </w:r>
      <w:proofErr w:type="gramStart"/>
      <w:r>
        <w:t>с 50-</w:t>
      </w:r>
      <w:r w:rsidRPr="000632EB">
        <w:t xml:space="preserve">процентной скидкой, осуществляется в соответствии с </w:t>
      </w:r>
      <w:hyperlink r:id="rId10" w:history="1">
        <w:r w:rsidRPr="000632EB">
          <w:t>Приказом</w:t>
        </w:r>
      </w:hyperlink>
      <w:r w:rsidRPr="000632EB">
        <w:t xml:space="preserve"> Министерства здравоохранения </w:t>
      </w:r>
      <w:r>
        <w:t>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>
        <w:t xml:space="preserve"> Перечень пунктов отпуска утверждается нормативным правовым актом Министерства здравоохранения Пермского края (далее - Министерство)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proofErr w:type="gramStart"/>
      <w: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стационарных условиях, в экстренной и неотложной формах.</w:t>
      </w:r>
      <w:proofErr w:type="gramEnd"/>
    </w:p>
    <w:p w:rsidR="002133E7" w:rsidRDefault="002133E7" w:rsidP="002133E7">
      <w:pPr>
        <w:pStyle w:val="ConsPlusNormal"/>
        <w:spacing w:before="220"/>
        <w:ind w:firstLine="540"/>
        <w:jc w:val="both"/>
      </w:pPr>
      <w:r>
        <w:t>Обеспечение граждан донорской кровью и (или) ее компонентами осуществляется медицинскими организациями, имеющими лицензию на оказание специализированной медицинской помощи, в том числе по трансфузиологии.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r>
        <w:t>Обеспечение граждан донорской кровью и (или) ее компонентами производится без взимания платы.</w:t>
      </w:r>
    </w:p>
    <w:p w:rsidR="002133E7" w:rsidRDefault="002133E7" w:rsidP="002133E7">
      <w:pPr>
        <w:pStyle w:val="ConsPlusNormal"/>
        <w:spacing w:before="220"/>
        <w:ind w:firstLine="540"/>
        <w:jc w:val="both"/>
      </w:pPr>
      <w:hyperlink r:id="rId11" w:history="1">
        <w:r w:rsidRPr="000632EB">
          <w:t>Правила</w:t>
        </w:r>
      </w:hyperlink>
      <w:r w:rsidRPr="000632EB">
        <w:t xml:space="preserve"> клинического использования донорской крови и (или) ее компонентов утверждены </w:t>
      </w:r>
      <w:r>
        <w:t>Приказом Министерства здравоохранения Российской Федерации от 2 апреля 2013 г. N 183н "Об утверждении правил клинического использования донорской крови и (или) ее компонентов".</w:t>
      </w:r>
    </w:p>
    <w:p w:rsidR="00DE5F81" w:rsidRDefault="00DE5F81"/>
    <w:sectPr w:rsidR="00DE5F81" w:rsidSect="00D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3E7"/>
    <w:rsid w:val="002133E7"/>
    <w:rsid w:val="006D2A25"/>
    <w:rsid w:val="00D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981DE14592856C73622602FDD1C4103188EF5BE665E4CA18D17B9178CB0139A028C2092455294b6G5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981DE14592856C73622602FDD1C4103128DF0BC6C5E4CA18D17B9178CB0139A028C2092455597b6G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981DE14592856C73622602FDD1C4103188DF4BF6E5E4CA18D17B9178CB0139A028C2092475796b6G2E" TargetMode="External"/><Relationship Id="rId11" Type="http://schemas.openxmlformats.org/officeDocument/2006/relationships/hyperlink" Target="consultantplus://offline/ref=95E981DE14592856C7363C6E2BDD1C4100158DF6BC6B5E4CA18D17B9178CB0139A028C2092455294b6GAE" TargetMode="External"/><Relationship Id="rId5" Type="http://schemas.openxmlformats.org/officeDocument/2006/relationships/hyperlink" Target="consultantplus://offline/ref=95E981DE14592856C73622602FDD1C41031185F2BA6D5E4CA18D17B917b8GCE" TargetMode="External"/><Relationship Id="rId10" Type="http://schemas.openxmlformats.org/officeDocument/2006/relationships/hyperlink" Target="consultantplus://offline/ref=95E981DE14592856C73622602FDD1C4103108EF7BA6D5E4CA18D17B917b8GCE" TargetMode="External"/><Relationship Id="rId4" Type="http://schemas.openxmlformats.org/officeDocument/2006/relationships/hyperlink" Target="consultantplus://offline/ref=95E981DE14592856C73622602FDD1C4103128DF5B86F5E4CA18D17B917b8GCE" TargetMode="External"/><Relationship Id="rId9" Type="http://schemas.openxmlformats.org/officeDocument/2006/relationships/hyperlink" Target="consultantplus://offline/ref=95E981DE14592856C73622602FDD1C41021589F6BA640346A9D41BBBb1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2018-02-21T05:59:00Z</dcterms:created>
  <dcterms:modified xsi:type="dcterms:W3CDTF">2018-02-21T06:00:00Z</dcterms:modified>
</cp:coreProperties>
</file>