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5F" w:rsidRPr="00E3567E" w:rsidRDefault="00E356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53725" w:rsidRPr="00E3567E">
        <w:rPr>
          <w:b/>
          <w:sz w:val="28"/>
          <w:szCs w:val="28"/>
        </w:rPr>
        <w:t xml:space="preserve">О временном порядке ГБУЗ ПК «НРБ» в целях реализации мер по профилактике и снижению рисков распространения новой </w:t>
      </w:r>
      <w:proofErr w:type="spellStart"/>
      <w:r w:rsidR="00A53725" w:rsidRPr="00E3567E">
        <w:rPr>
          <w:b/>
          <w:sz w:val="28"/>
          <w:szCs w:val="28"/>
        </w:rPr>
        <w:t>коронавирус</w:t>
      </w:r>
      <w:r w:rsidRPr="00E3567E">
        <w:rPr>
          <w:b/>
          <w:sz w:val="28"/>
          <w:szCs w:val="28"/>
        </w:rPr>
        <w:t>н</w:t>
      </w:r>
      <w:r w:rsidR="00A53725" w:rsidRPr="00E3567E">
        <w:rPr>
          <w:b/>
          <w:sz w:val="28"/>
          <w:szCs w:val="28"/>
        </w:rPr>
        <w:t>ой</w:t>
      </w:r>
      <w:proofErr w:type="spellEnd"/>
      <w:r w:rsidR="00A53725" w:rsidRPr="00E3567E">
        <w:rPr>
          <w:b/>
          <w:sz w:val="28"/>
          <w:szCs w:val="28"/>
        </w:rPr>
        <w:t xml:space="preserve"> инфекции C</w:t>
      </w:r>
      <w:r w:rsidR="00A53725" w:rsidRPr="00E3567E">
        <w:rPr>
          <w:b/>
          <w:sz w:val="28"/>
          <w:szCs w:val="28"/>
          <w:lang w:val="en-US"/>
        </w:rPr>
        <w:t>OV</w:t>
      </w:r>
      <w:r w:rsidRPr="00E3567E">
        <w:rPr>
          <w:b/>
          <w:sz w:val="28"/>
          <w:szCs w:val="28"/>
          <w:lang w:val="en-US"/>
        </w:rPr>
        <w:t>D</w:t>
      </w:r>
      <w:r w:rsidR="00A53725" w:rsidRPr="00E3567E">
        <w:rPr>
          <w:b/>
          <w:sz w:val="28"/>
          <w:szCs w:val="28"/>
          <w:lang w:val="en-US"/>
        </w:rPr>
        <w:t>I</w:t>
      </w:r>
      <w:r w:rsidR="00A53725" w:rsidRPr="00E3567E">
        <w:rPr>
          <w:b/>
          <w:sz w:val="28"/>
          <w:szCs w:val="28"/>
        </w:rPr>
        <w:t>-19</w:t>
      </w:r>
      <w:r w:rsidRPr="00E3567E">
        <w:rPr>
          <w:b/>
          <w:sz w:val="28"/>
          <w:szCs w:val="28"/>
        </w:rPr>
        <w:t>.</w:t>
      </w:r>
    </w:p>
    <w:p w:rsidR="00A53725" w:rsidRDefault="00A53725">
      <w:r>
        <w:t>С 11 августа 2020 года в ГБУЗ ПК Нытвенская районная больница возобновилось проведение</w:t>
      </w:r>
    </w:p>
    <w:p w:rsidR="00AF065F" w:rsidRDefault="00AF065F">
      <w:r>
        <w:t>диспансеризации и профилактических</w:t>
      </w:r>
      <w:r w:rsidR="0044458A">
        <w:t xml:space="preserve"> медицинских</w:t>
      </w:r>
      <w:r w:rsidR="0049533A">
        <w:t xml:space="preserve"> осмотров взрослого населения:</w:t>
      </w:r>
    </w:p>
    <w:p w:rsidR="009E5452" w:rsidRDefault="009E5452">
      <w:r>
        <w:t xml:space="preserve">      - диспансеризация и профилактические осмотры проводятся по предварительной записи;</w:t>
      </w:r>
    </w:p>
    <w:p w:rsidR="009E5452" w:rsidRDefault="009E5452">
      <w:r>
        <w:t xml:space="preserve">      -при посещении медицинской организации обязательно соблюдение социальной дистанции  и ношения маски</w:t>
      </w:r>
      <w:proofErr w:type="gramStart"/>
      <w:r>
        <w:t xml:space="preserve"> ,</w:t>
      </w:r>
      <w:proofErr w:type="gramEnd"/>
      <w:r>
        <w:t xml:space="preserve"> обработка рук дезинфицирующим средством ;</w:t>
      </w:r>
    </w:p>
    <w:p w:rsidR="009E5452" w:rsidRDefault="009E5452">
      <w:pPr>
        <w:rPr>
          <w:b/>
        </w:rPr>
      </w:pPr>
      <w:r>
        <w:t xml:space="preserve">      -  </w:t>
      </w:r>
      <w:r w:rsidRPr="009E5452">
        <w:t>режим и график работы</w:t>
      </w:r>
      <w:proofErr w:type="gramStart"/>
      <w:r w:rsidRPr="009E5452">
        <w:t xml:space="preserve"> :</w:t>
      </w:r>
      <w:proofErr w:type="gramEnd"/>
    </w:p>
    <w:p w:rsidR="009E5452" w:rsidRPr="00BA1C1F" w:rsidRDefault="009E5452">
      <w:r>
        <w:rPr>
          <w:b/>
        </w:rPr>
        <w:t xml:space="preserve">      </w:t>
      </w:r>
      <w:r w:rsidRPr="009E5452">
        <w:rPr>
          <w:b/>
        </w:rPr>
        <w:t xml:space="preserve"> отделения медицинской профилактики</w:t>
      </w:r>
    </w:p>
    <w:p w:rsidR="009E5452" w:rsidRDefault="009E5452">
      <w:r>
        <w:t xml:space="preserve">       понедельник -  пятница  с  8-00 до 16-00</w:t>
      </w:r>
    </w:p>
    <w:p w:rsidR="009E5452" w:rsidRDefault="009E5452">
      <w:r>
        <w:t xml:space="preserve">        суббота </w:t>
      </w:r>
      <w:proofErr w:type="gramStart"/>
      <w:r>
        <w:t xml:space="preserve">( </w:t>
      </w:r>
      <w:proofErr w:type="gramEnd"/>
      <w:r>
        <w:t>вторая, третья, четвертая) с 8-00 до 12-00</w:t>
      </w:r>
    </w:p>
    <w:p w:rsidR="009E5452" w:rsidRDefault="009E5452">
      <w:pPr>
        <w:rPr>
          <w:b/>
        </w:rPr>
      </w:pPr>
      <w:r w:rsidRPr="009E5452">
        <w:rPr>
          <w:b/>
        </w:rPr>
        <w:t xml:space="preserve">  </w:t>
      </w:r>
      <w:r>
        <w:rPr>
          <w:b/>
        </w:rPr>
        <w:t xml:space="preserve"> </w:t>
      </w:r>
      <w:r w:rsidRPr="009E5452">
        <w:rPr>
          <w:b/>
        </w:rPr>
        <w:t xml:space="preserve">    участковая служба</w:t>
      </w:r>
    </w:p>
    <w:p w:rsidR="009E5452" w:rsidRDefault="009E5452">
      <w:r>
        <w:rPr>
          <w:b/>
        </w:rPr>
        <w:t xml:space="preserve">     </w:t>
      </w:r>
      <w:r>
        <w:t xml:space="preserve">  понедельник -  пятница     с 8-00 до 18-00</w:t>
      </w:r>
    </w:p>
    <w:p w:rsidR="00AF065F" w:rsidRDefault="0049533A">
      <w:r>
        <w:t xml:space="preserve">  </w:t>
      </w:r>
      <w:r w:rsidR="00AF065F">
        <w:t xml:space="preserve"> </w:t>
      </w:r>
      <w:r w:rsidR="009E5452">
        <w:t xml:space="preserve">                                            суббота с 8-00 до 12-00</w:t>
      </w:r>
    </w:p>
    <w:p w:rsidR="00AF065F" w:rsidRDefault="00AF065F">
      <w:r>
        <w:t xml:space="preserve">   -</w:t>
      </w:r>
      <w:r w:rsidR="0049533A">
        <w:t xml:space="preserve"> </w:t>
      </w:r>
      <w:r>
        <w:t xml:space="preserve"> способы записи на диспансеризацию и профилактические</w:t>
      </w:r>
      <w:r w:rsidR="0044458A">
        <w:t xml:space="preserve"> медицинские </w:t>
      </w:r>
      <w:r>
        <w:t xml:space="preserve"> </w:t>
      </w:r>
      <w:r w:rsidR="0044458A">
        <w:t xml:space="preserve">осмотры по номерам      телефонов </w:t>
      </w:r>
      <w:r w:rsidR="0044458A" w:rsidRPr="00E3567E">
        <w:rPr>
          <w:b/>
        </w:rPr>
        <w:t>92-000, 92-111</w:t>
      </w:r>
      <w:r w:rsidR="0044458A">
        <w:t xml:space="preserve">,через интернет – сайт </w:t>
      </w:r>
      <w:r w:rsidR="0044458A" w:rsidRPr="00E3567E">
        <w:rPr>
          <w:b/>
          <w:u w:val="single"/>
        </w:rPr>
        <w:t>https: //</w:t>
      </w:r>
      <w:proofErr w:type="spellStart"/>
      <w:r w:rsidR="0044458A" w:rsidRPr="00E3567E">
        <w:rPr>
          <w:b/>
          <w:u w:val="single"/>
        </w:rPr>
        <w:t>k-vrachu.ru</w:t>
      </w:r>
      <w:proofErr w:type="spellEnd"/>
      <w:r w:rsidR="0044458A">
        <w:t>, портал государственных услуг</w:t>
      </w:r>
      <w:r w:rsidR="0044458A" w:rsidRPr="0044458A">
        <w:t>и</w:t>
      </w:r>
      <w:r w:rsidR="0044458A">
        <w:t xml:space="preserve">: </w:t>
      </w:r>
      <w:hyperlink r:id="rId5" w:history="1">
        <w:r w:rsidR="0044458A" w:rsidRPr="00E3567E">
          <w:rPr>
            <w:rStyle w:val="a3"/>
            <w:b/>
            <w:color w:val="auto"/>
            <w:sz w:val="24"/>
          </w:rPr>
          <w:t>www.gosuslugi</w:t>
        </w:r>
      </w:hyperlink>
      <w:r w:rsidR="0044458A" w:rsidRPr="00E3567E">
        <w:rPr>
          <w:b/>
          <w:u w:val="single"/>
        </w:rPr>
        <w:t xml:space="preserve">. </w:t>
      </w:r>
      <w:proofErr w:type="spellStart"/>
      <w:r w:rsidR="0044458A" w:rsidRPr="00E3567E">
        <w:rPr>
          <w:b/>
          <w:u w:val="single"/>
        </w:rPr>
        <w:t>ru</w:t>
      </w:r>
      <w:proofErr w:type="spellEnd"/>
      <w:r w:rsidR="0044458A" w:rsidRPr="00E3567E">
        <w:rPr>
          <w:b/>
          <w:u w:val="single"/>
        </w:rPr>
        <w:t>.</w:t>
      </w:r>
    </w:p>
    <w:p w:rsidR="00BA1C1F" w:rsidRDefault="00BA1C1F">
      <w:r>
        <w:t xml:space="preserve">     - порядок проведения диспансеризации и профилактических медицинских осмотров</w:t>
      </w:r>
    </w:p>
    <w:p w:rsidR="00BA1C1F" w:rsidRDefault="00BA1C1F">
      <w:r>
        <w:t>организованы согласно приказам Министерства здравоохранения РФ от 13.03.2019 № 124н.</w:t>
      </w:r>
    </w:p>
    <w:p w:rsidR="00BA1C1F" w:rsidRDefault="00BA1C1F" w:rsidP="00BA1C1F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Приказ Министерства здравоохранения РФ от 13 марта 2019 г. № 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пп взр</w:t>
      </w:r>
      <w:proofErr w:type="gramEnd"/>
      <w:r>
        <w:rPr>
          <w:rFonts w:ascii="Arial" w:hAnsi="Arial" w:cs="Arial"/>
          <w:color w:val="4D4D4D"/>
          <w:sz w:val="27"/>
          <w:szCs w:val="27"/>
        </w:rPr>
        <w:t>ослого населения"</w:t>
      </w:r>
    </w:p>
    <w:p w:rsidR="00BA1C1F" w:rsidRDefault="00BA1C1F" w:rsidP="00BA1C1F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26 апреля 2019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bookmarkStart w:id="0" w:name="0"/>
      <w:bookmarkEnd w:id="0"/>
      <w:r>
        <w:rPr>
          <w:rFonts w:ascii="Arial" w:hAnsi="Arial" w:cs="Arial"/>
          <w:color w:val="333333"/>
          <w:sz w:val="23"/>
          <w:szCs w:val="23"/>
        </w:rPr>
        <w:t>В соответствии со статьей 46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2016, № 27, ст. 4219) приказываю: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Утвердить порядок проведения профилактического медицинского осмотра и диспансеризации определенных гру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пп взр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ослого населения согласно </w:t>
      </w:r>
      <w:hyperlink r:id="rId6" w:anchor="1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приложению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Признать утратившими силу: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приказ Министерства здравоохранения Российской Федерации от 6 декабря 2012 г. № 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 г., регистрационный № 26511);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приказ Министерства здравоохранения Российской Федерации от 26 октября 2017 г. № 869н "Об утверждении порядка проведения диспансеризации определенных гру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пп взр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ослого населения" (зарегистрирован Министерством юстиции Российской Федерации 12 декабря 2017 г., регистрационный № 49214).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4"/>
        <w:gridCol w:w="1454"/>
      </w:tblGrid>
      <w:tr w:rsidR="00BA1C1F" w:rsidTr="00BA1C1F">
        <w:tc>
          <w:tcPr>
            <w:tcW w:w="2500" w:type="pct"/>
            <w:hideMark/>
          </w:tcPr>
          <w:p w:rsidR="00BA1C1F" w:rsidRDefault="00BA1C1F">
            <w:pPr>
              <w:rPr>
                <w:sz w:val="24"/>
                <w:szCs w:val="24"/>
              </w:rPr>
            </w:pPr>
            <w:r>
              <w:t>Министр</w:t>
            </w:r>
          </w:p>
        </w:tc>
        <w:tc>
          <w:tcPr>
            <w:tcW w:w="2500" w:type="pct"/>
            <w:hideMark/>
          </w:tcPr>
          <w:p w:rsidR="00BA1C1F" w:rsidRDefault="00BA1C1F">
            <w:pPr>
              <w:rPr>
                <w:sz w:val="24"/>
                <w:szCs w:val="24"/>
              </w:rPr>
            </w:pPr>
            <w:r>
              <w:t>В.И. Скворцова</w:t>
            </w:r>
          </w:p>
        </w:tc>
      </w:tr>
    </w:tbl>
    <w:p w:rsidR="00BA1C1F" w:rsidRDefault="00BA1C1F" w:rsidP="00BA1C1F">
      <w:pPr>
        <w:pStyle w:val="toleft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Зарегистрировано в Минюсте РФ 24 апреля 2019 г.</w:t>
      </w:r>
      <w:r>
        <w:rPr>
          <w:rFonts w:ascii="Arial" w:hAnsi="Arial" w:cs="Arial"/>
          <w:color w:val="333333"/>
          <w:sz w:val="23"/>
          <w:szCs w:val="23"/>
        </w:rPr>
        <w:br/>
        <w:t>Регистрационный № 54495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Приложение</w:t>
      </w:r>
      <w:r>
        <w:rPr>
          <w:rFonts w:ascii="Arial" w:hAnsi="Arial" w:cs="Arial"/>
          <w:color w:val="333333"/>
          <w:sz w:val="23"/>
          <w:szCs w:val="23"/>
        </w:rPr>
        <w:br/>
        <w:t>к </w:t>
      </w:r>
      <w:hyperlink r:id="rId7" w:anchor="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приказу</w:t>
        </w:r>
      </w:hyperlink>
      <w:r>
        <w:rPr>
          <w:rFonts w:ascii="Arial" w:hAnsi="Arial" w:cs="Arial"/>
          <w:color w:val="333333"/>
          <w:sz w:val="23"/>
          <w:szCs w:val="23"/>
        </w:rPr>
        <w:t> Министерства здравоохранения</w:t>
      </w:r>
      <w:r>
        <w:rPr>
          <w:rFonts w:ascii="Arial" w:hAnsi="Arial" w:cs="Arial"/>
          <w:color w:val="333333"/>
          <w:sz w:val="23"/>
          <w:szCs w:val="23"/>
        </w:rPr>
        <w:br/>
        <w:t>Российской Федерации</w:t>
      </w:r>
      <w:r>
        <w:rPr>
          <w:rFonts w:ascii="Arial" w:hAnsi="Arial" w:cs="Arial"/>
          <w:color w:val="333333"/>
          <w:sz w:val="23"/>
          <w:szCs w:val="23"/>
        </w:rPr>
        <w:br/>
        <w:t>от 13.03.2019 г. № 124н</w:t>
      </w:r>
    </w:p>
    <w:p w:rsidR="00BA1C1F" w:rsidRDefault="00BA1C1F" w:rsidP="00BA1C1F">
      <w:pPr>
        <w:pStyle w:val="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Порядок</w:t>
      </w:r>
      <w:r>
        <w:rPr>
          <w:rFonts w:ascii="Arial" w:hAnsi="Arial" w:cs="Arial"/>
          <w:color w:val="333333"/>
          <w:sz w:val="26"/>
          <w:szCs w:val="26"/>
        </w:rPr>
        <w:br/>
        <w:t>проведения профилактического медицинского осмотра и диспансеризации определенных гру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пп взр</w:t>
      </w:r>
      <w:proofErr w:type="gramEnd"/>
      <w:r>
        <w:rPr>
          <w:rFonts w:ascii="Arial" w:hAnsi="Arial" w:cs="Arial"/>
          <w:color w:val="333333"/>
          <w:sz w:val="26"/>
          <w:szCs w:val="26"/>
        </w:rPr>
        <w:t>ослого населения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пп взр</w:t>
      </w:r>
      <w:proofErr w:type="gramEnd"/>
      <w:r>
        <w:rPr>
          <w:rFonts w:ascii="Arial" w:hAnsi="Arial" w:cs="Arial"/>
          <w:color w:val="333333"/>
          <w:sz w:val="23"/>
          <w:szCs w:val="23"/>
        </w:rPr>
        <w:t>ослого населения (в возрасте от 18 лет и старше):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1) работающие граждане;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2) неработающие граждане;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3)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обучающиеся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 образовательных организациях по очной форме.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hyperlink r:id="rId8" w:anchor="1111111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3. Медицинские мероприятия, проводимые в рамках настоящего порядка, направлены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>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lastRenderedPageBreak/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гиперхолестеринемию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также риска потребления наркотических средств и психотропных веществ без назначения врача;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сердечно-сосудистым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риском.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4. Профилактический медицинский осмотр проводится ежегодно: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1) в качестве самостоятельного мероприятия;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2) в рамках диспансеризации;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5. Диспансеризация проводится</w:t>
      </w:r>
      <w:hyperlink r:id="rId9" w:anchor="2222222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2</w:t>
        </w:r>
      </w:hyperlink>
      <w:r>
        <w:rPr>
          <w:rFonts w:ascii="Arial" w:hAnsi="Arial" w:cs="Arial"/>
          <w:color w:val="333333"/>
          <w:sz w:val="23"/>
          <w:szCs w:val="23"/>
        </w:rPr>
        <w:t>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1) 1 раз в три года в возрасте от 18 до 39 лет включительно;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2) ежегодно в возрасте 40 лет и старше, а также в отношении отдельных категорий граждан, включая: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hyperlink r:id="rId10" w:anchor="3333333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3</w:t>
        </w:r>
      </w:hyperlink>
      <w:r>
        <w:rPr>
          <w:rFonts w:ascii="Arial" w:hAnsi="Arial" w:cs="Arial"/>
          <w:color w:val="333333"/>
          <w:sz w:val="23"/>
          <w:szCs w:val="23"/>
        </w:rPr>
        <w:t>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hyperlink r:id="rId11" w:anchor="4444444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4</w:t>
        </w:r>
      </w:hyperlink>
      <w:r>
        <w:rPr>
          <w:rFonts w:ascii="Arial" w:hAnsi="Arial" w:cs="Arial"/>
          <w:color w:val="333333"/>
          <w:sz w:val="23"/>
          <w:szCs w:val="23"/>
        </w:rPr>
        <w:t>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hyperlink r:id="rId12" w:anchor="5555555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5</w:t>
        </w:r>
      </w:hyperlink>
      <w:r>
        <w:rPr>
          <w:rFonts w:ascii="Arial" w:hAnsi="Arial" w:cs="Arial"/>
          <w:color w:val="333333"/>
          <w:sz w:val="23"/>
          <w:szCs w:val="23"/>
        </w:rPr>
        <w:t>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</w:t>
      </w:r>
      <w:hyperlink r:id="rId13" w:anchor="6666666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6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 </w:t>
      </w:r>
      <w:hyperlink r:id="rId14" w:anchor="1016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пунктами 16-18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 и </w:t>
      </w:r>
      <w:hyperlink r:id="rId15" w:anchor="11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приложениями № 1</w:t>
        </w:r>
      </w:hyperlink>
      <w:r>
        <w:rPr>
          <w:rFonts w:ascii="Arial" w:hAnsi="Arial" w:cs="Arial"/>
          <w:color w:val="333333"/>
          <w:sz w:val="23"/>
          <w:szCs w:val="23"/>
        </w:rPr>
        <w:t> и </w:t>
      </w:r>
      <w:hyperlink r:id="rId16" w:anchor="12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№ 2</w:t>
        </w:r>
      </w:hyperlink>
      <w:r>
        <w:rPr>
          <w:rFonts w:ascii="Arial" w:hAnsi="Arial" w:cs="Arial"/>
          <w:color w:val="333333"/>
          <w:sz w:val="23"/>
          <w:szCs w:val="23"/>
        </w:rPr>
        <w:t> к настоящему порядку.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9.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</w:t>
      </w:r>
      <w:hyperlink r:id="rId17" w:anchor="7777777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7</w:t>
        </w:r>
      </w:hyperlink>
      <w:r>
        <w:rPr>
          <w:rFonts w:ascii="Arial" w:hAnsi="Arial" w:cs="Arial"/>
          <w:color w:val="333333"/>
          <w:sz w:val="23"/>
          <w:szCs w:val="23"/>
        </w:rPr>
        <w:t> 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кохлеарной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имплантации)", "хирургии" или "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колопроктологии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 20 Федерального закона № 323-ФЗ.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2011 г. № 158н</w:t>
      </w:r>
      <w:hyperlink r:id="rId18" w:anchor="8888888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8</w:t>
        </w:r>
      </w:hyperlink>
      <w:r>
        <w:rPr>
          <w:rFonts w:ascii="Arial" w:hAnsi="Arial" w:cs="Arial"/>
          <w:color w:val="333333"/>
          <w:sz w:val="23"/>
          <w:szCs w:val="23"/>
        </w:rPr>
        <w:t> (далее - Правила обязательного медицинского страхования).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Фельдшер фельдшерского здравпункта или фельдшерско-акушерского пункта 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установленном приказом Министерства здравоохранения и социального развития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Российской Федерации от 23 марта 2012 г. №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психотропные лекарственные препараты"</w:t>
      </w:r>
      <w:hyperlink r:id="rId19" w:anchor="9999999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9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13. Основными задачами фельдшера фельдшерского здравпункта или фельдшерско-акушерского пункта при организации и проведении профилактического медицинского осмотра и диспансеризации являются: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семьи;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расчета на основании антропометрии (измерение роста, массы тела, окружности талии) индекса массы тела;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измерения артериального давления на периферических артериях;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определения уровня общего холестерина в крови;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определения уровня глюкозы в крови натощак;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электрокардиографии в покое;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измерения внутриглазного давления;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 </w:t>
      </w:r>
      <w:hyperlink r:id="rId20" w:anchor="12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приложению № 2</w:t>
        </w:r>
      </w:hyperlink>
      <w:r>
        <w:rPr>
          <w:rFonts w:ascii="Arial" w:hAnsi="Arial" w:cs="Arial"/>
          <w:color w:val="333333"/>
          <w:sz w:val="23"/>
          <w:szCs w:val="23"/>
        </w:rPr>
        <w:t> к настоящему порядку;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 </w:t>
      </w:r>
      <w:hyperlink r:id="rId21" w:anchor="13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приложением № 3</w:t>
        </w:r>
      </w:hyperlink>
      <w:r>
        <w:rPr>
          <w:rFonts w:ascii="Arial" w:hAnsi="Arial" w:cs="Arial"/>
          <w:color w:val="333333"/>
          <w:sz w:val="23"/>
          <w:szCs w:val="23"/>
        </w:rPr>
        <w:t> к настоящему порядку;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определения относительного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сердечно-сосудистого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риска у граждан в возрасте от 18 до 39 лет включительно и абсолютного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сердечно-сосудистого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 </w:t>
      </w:r>
      <w:hyperlink r:id="rId22" w:anchor="1133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подпункте 3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здоровья в объеме, предусмотренном в </w:t>
      </w:r>
      <w:hyperlink r:id="rId23" w:anchor="11611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подпункте 11 пункта 16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сердечно-сосудистым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мин от начала появления симптомов) вызова бригады скорой медицинской помощи;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частью 3 статьи 97 Федерального закона № 323-ФЗ Министерством здравоохранения Российской Федерации (далее - карта учета диспансеризации);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8) информирование граждан о возможности медицинского освидетельствования для выявления ВИЧ-инфекции в соответствии со статьей 7 Федерального закона от 30 марта 1995 г. № 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№ 38-ФЗ)</w:t>
      </w:r>
      <w:hyperlink r:id="rId24" w:anchor="1010101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10</w:t>
        </w:r>
      </w:hyperlink>
      <w:r>
        <w:rPr>
          <w:rFonts w:ascii="Arial" w:hAnsi="Arial" w:cs="Arial"/>
          <w:color w:val="333333"/>
          <w:sz w:val="23"/>
          <w:szCs w:val="23"/>
        </w:rPr>
        <w:t> 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</w:t>
      </w:r>
      <w:r>
        <w:rPr>
          <w:rFonts w:ascii="Arial" w:hAnsi="Arial" w:cs="Arial"/>
          <w:color w:val="333333"/>
          <w:sz w:val="23"/>
          <w:szCs w:val="23"/>
        </w:rPr>
        <w:lastRenderedPageBreak/>
        <w:t>диспансеризации, в том числе путем проведения разъяснительных бесед на уровне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семьи;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2) прием (осмотр) по результатам профилактического медицинского осмотра, в том числе граждан, направленных в соответствии с </w:t>
      </w:r>
      <w:hyperlink r:id="rId25" w:anchor="1134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подпунктом 4 пункта 13</w:t>
        </w:r>
      </w:hyperlink>
      <w:r>
        <w:rPr>
          <w:rFonts w:ascii="Arial" w:hAnsi="Arial" w:cs="Arial"/>
          <w:color w:val="333333"/>
          <w:sz w:val="23"/>
          <w:szCs w:val="23"/>
        </w:rPr>
        <w:t> и </w:t>
      </w:r>
      <w:hyperlink r:id="rId26" w:anchor="1156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подпунктом 6 пункта 15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порядка, в объеме, предусмотренном в </w:t>
      </w:r>
      <w:hyperlink r:id="rId27" w:anchor="11611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подпункте 11 пункта 16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 </w:t>
      </w:r>
      <w:hyperlink r:id="rId28" w:anchor="11813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подпункте 13 пункта 18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порядка;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сердечно-сосудистым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5 мин от начала появления симптомов) вызова бригады скорой медицинской помощи;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4) подведение итогов проведения профилактического медицинского осмотра и диспансеризации на участке;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5) информирование граждан о возможности медицинского освидетельствования для выявления ВИЧ-инфекции в соответствии со статьей 7 Федерального закона №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 </w:t>
      </w:r>
      <w:hyperlink r:id="rId29" w:anchor="1151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подпунктами 1</w:t>
        </w:r>
      </w:hyperlink>
      <w:r>
        <w:rPr>
          <w:rFonts w:ascii="Arial" w:hAnsi="Arial" w:cs="Arial"/>
          <w:color w:val="333333"/>
          <w:sz w:val="23"/>
          <w:szCs w:val="23"/>
        </w:rPr>
        <w:t>, </w:t>
      </w:r>
      <w:hyperlink r:id="rId30" w:anchor="1153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3</w:t>
        </w:r>
      </w:hyperlink>
      <w:r>
        <w:rPr>
          <w:rFonts w:ascii="Arial" w:hAnsi="Arial" w:cs="Arial"/>
          <w:color w:val="333333"/>
          <w:sz w:val="23"/>
          <w:szCs w:val="23"/>
        </w:rPr>
        <w:t>, </w:t>
      </w:r>
      <w:hyperlink r:id="rId31" w:anchor="1154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абзацами первым - десятым</w:t>
        </w:r>
      </w:hyperlink>
      <w:r>
        <w:rPr>
          <w:rFonts w:ascii="Arial" w:hAnsi="Arial" w:cs="Arial"/>
          <w:color w:val="333333"/>
          <w:sz w:val="23"/>
          <w:szCs w:val="23"/>
        </w:rPr>
        <w:t>, двенадцатым, тринадцатым </w:t>
      </w:r>
      <w:hyperlink r:id="rId32" w:anchor="1154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подпункта 4</w:t>
        </w:r>
      </w:hyperlink>
      <w:r>
        <w:rPr>
          <w:rFonts w:ascii="Arial" w:hAnsi="Arial" w:cs="Arial"/>
          <w:color w:val="333333"/>
          <w:sz w:val="23"/>
          <w:szCs w:val="23"/>
        </w:rPr>
        <w:t>, </w:t>
      </w:r>
      <w:hyperlink r:id="rId33" w:anchor="1155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5</w:t>
        </w:r>
      </w:hyperlink>
      <w:r>
        <w:rPr>
          <w:rFonts w:ascii="Arial" w:hAnsi="Arial" w:cs="Arial"/>
          <w:color w:val="333333"/>
          <w:sz w:val="23"/>
          <w:szCs w:val="23"/>
        </w:rPr>
        <w:t>, </w:t>
      </w:r>
      <w:hyperlink r:id="rId34" w:anchor="1157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7-9 пункта 15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</w:t>
      </w:r>
      <w:r>
        <w:rPr>
          <w:rFonts w:ascii="Arial" w:hAnsi="Arial" w:cs="Arial"/>
          <w:color w:val="333333"/>
          <w:sz w:val="23"/>
          <w:szCs w:val="23"/>
        </w:rPr>
        <w:lastRenderedPageBreak/>
        <w:t>разъяснительной работы и мотивировании граждан к прохождению профилактического медицинского осмотра, диспансеризации;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анкетирования;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расчета на основании антропометрии (измерение роста, массы тела, окружности талии) индекса массы тела;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измерения артериального давления на периферических артериях;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определения уровня общего холестерина в крови;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определения уровня глюкозы в крови натощак;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измерения внутриглазного давления;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 </w:t>
      </w:r>
      <w:hyperlink r:id="rId35" w:anchor="13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приложением № 3</w:t>
        </w:r>
      </w:hyperlink>
      <w:r>
        <w:rPr>
          <w:rFonts w:ascii="Arial" w:hAnsi="Arial" w:cs="Arial"/>
          <w:color w:val="333333"/>
          <w:sz w:val="23"/>
          <w:szCs w:val="23"/>
        </w:rPr>
        <w:t> к настоящему порядку;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определения относительного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сердечно-сосудистого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риска у граждан в возрасте от 18 до 39 лет включительно, и абсолютного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сердечно-сосудистого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приема (осмотра) по результатам профилактического медицинского осмотра в объеме, предусмотренном в </w:t>
      </w:r>
      <w:hyperlink r:id="rId36" w:anchor="11611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подпункте 11 пункта 16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 </w:t>
      </w:r>
      <w:hyperlink r:id="rId37" w:anchor="1154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подпункте 4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пункта;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</w:t>
      </w: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абсолютным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сердечно-сосудистым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мин от начала появления симптомов) вызова бригады скорой медицинской помощи;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8) формирование комплекта документов, заполнение карты учета диспансеризации;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11) информирование граждан о возможности медицинского освидетельствования для выявления ВИЧ-инфекции в соответствии со статьёй 7 Федерального закона №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16. Профилактический медицинский осмотр включает в себя: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1) анкетирование граждан в возрасте 18 лет и старше 1 раз в год в целях: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обструктивной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болезни легких, заболеваний желудочно-кишечного тракта;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выявления у граждан в возрасте 65 лет и старше риска падений, жалоб, характерных для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остеопороза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депрессии, сердечной недостаточности,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некоррегированных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нарушений слуха и зрения;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6) определение относительного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сердечно-сосудистого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риска у граждан в возрасте от 18 до 39 лет включительно 1 раз в год;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7) определение абсолютного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сердечно-сосудистого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риска</w:t>
      </w:r>
      <w:hyperlink r:id="rId38" w:anchor="10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11</w:t>
        </w:r>
      </w:hyperlink>
      <w:r>
        <w:rPr>
          <w:rFonts w:ascii="Arial" w:hAnsi="Arial" w:cs="Arial"/>
          <w:color w:val="333333"/>
          <w:sz w:val="23"/>
          <w:szCs w:val="23"/>
        </w:rPr>
        <w:t> у граждан в возрасте от 40 до 64 лет включительно 1 раз в год;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8) флюорографию легких или рентгенографию легких для граждан в возрасте 18 лет и старше 1 раз в 2 года</w:t>
      </w:r>
      <w:hyperlink r:id="rId39" w:anchor="1212121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12</w:t>
        </w:r>
      </w:hyperlink>
      <w:r>
        <w:rPr>
          <w:rFonts w:ascii="Arial" w:hAnsi="Arial" w:cs="Arial"/>
          <w:color w:val="333333"/>
          <w:sz w:val="23"/>
          <w:szCs w:val="23"/>
        </w:rPr>
        <w:t>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11) осмотр фельдшером (акушеркой) или врачом акушером-гинекологом женщин в возрасте от 18 до 39 лет 1 раз в год;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17. Диспансеризация проводится в два этапа.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1) для граждан в возрасте от 18 до 39 лет включительно 1 раз в 3 года: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проведение профилактического медицинского осмотра в объеме, указанном в </w:t>
      </w:r>
      <w:hyperlink r:id="rId40" w:anchor="1161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подпунктах 1-11 пункта 16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41" w:anchor="12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приложению № 2</w:t>
        </w:r>
      </w:hyperlink>
      <w:r>
        <w:rPr>
          <w:rFonts w:ascii="Arial" w:hAnsi="Arial" w:cs="Arial"/>
          <w:color w:val="333333"/>
          <w:sz w:val="23"/>
          <w:szCs w:val="23"/>
        </w:rPr>
        <w:t> к настоящему порядку;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</w:t>
      </w:r>
      <w:r>
        <w:rPr>
          <w:rFonts w:ascii="Arial" w:hAnsi="Arial" w:cs="Arial"/>
          <w:color w:val="333333"/>
          <w:sz w:val="23"/>
          <w:szCs w:val="23"/>
        </w:rPr>
        <w:lastRenderedPageBreak/>
        <w:t>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проведение профилактического медицинского осмотра в объеме, указанном в </w:t>
      </w:r>
      <w:hyperlink r:id="rId42" w:anchor="1161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подпунктах 1-10 пункта 16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43" w:anchor="12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приложению № 2</w:t>
        </w:r>
      </w:hyperlink>
      <w:r>
        <w:rPr>
          <w:rFonts w:ascii="Arial" w:hAnsi="Arial" w:cs="Arial"/>
          <w:color w:val="333333"/>
          <w:sz w:val="23"/>
          <w:szCs w:val="23"/>
        </w:rPr>
        <w:t> к настоящему порядку;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общий анализ крови (гемоглобин, лейкоциты, СОЭ);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проведение профилактического медицинского осмотра в объеме, указанном в </w:t>
      </w:r>
      <w:hyperlink r:id="rId44" w:anchor="1161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подпунктах 1-10 пункта 16</w:t>
        </w:r>
      </w:hyperlink>
      <w:r>
        <w:rPr>
          <w:rFonts w:ascii="Arial" w:hAnsi="Arial" w:cs="Arial"/>
          <w:color w:val="333333"/>
          <w:sz w:val="23"/>
          <w:szCs w:val="23"/>
        </w:rPr>
        <w:t> настоящего порядка;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45" w:anchor="12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приложению № 2</w:t>
        </w:r>
      </w:hyperlink>
      <w:r>
        <w:rPr>
          <w:rFonts w:ascii="Arial" w:hAnsi="Arial" w:cs="Arial"/>
          <w:color w:val="333333"/>
          <w:sz w:val="23"/>
          <w:szCs w:val="23"/>
        </w:rPr>
        <w:t> к настоящему порядку;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общий анализ крови (гемоглобин, лейкоциты, СОЭ);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г) проведения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</w:t>
      </w:r>
      <w:r>
        <w:rPr>
          <w:rFonts w:ascii="Arial" w:hAnsi="Arial" w:cs="Arial"/>
          <w:color w:val="333333"/>
          <w:sz w:val="23"/>
          <w:szCs w:val="23"/>
        </w:rPr>
        <w:lastRenderedPageBreak/>
        <w:t>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наблюдением);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гиперхолестеринемия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простат-специфического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антигена в крови более 4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нг</w:t>
      </w:r>
      <w:proofErr w:type="spellEnd"/>
      <w:r>
        <w:rPr>
          <w:rFonts w:ascii="Arial" w:hAnsi="Arial" w:cs="Arial"/>
          <w:color w:val="333333"/>
          <w:sz w:val="23"/>
          <w:szCs w:val="23"/>
        </w:rPr>
        <w:t>/мл);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4) осмотр (консультацию) врачом-хирургом или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врачом-колопроктологом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включая проведение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ректороманоскопии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 семейному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аденоматозу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5)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колоноскопию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врача-колопроктолога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6)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эзофагогастродуоденоскопия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8) спирометрию (для граждан с подозрением на хроническое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бронхолегочное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заболевание, курящих граждан, выявленных по результатам анкетирования, - по назначению врача-терапевта);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 xml:space="preserve">10) осмотр (консультация)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врачом-оториноларингологом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г) при выявлении высокого относительного, высокого и очень высокого абсолютного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сердечно-сосудистого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риска, и (или) ожирения, и (или)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гиперхолестеринемии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 профилю "онкология", утвержденным приказом Минздрава России от 15 ноября 2012 г. № 915н</w:t>
      </w:r>
      <w:hyperlink r:id="rId46" w:anchor="1313131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13</w:t>
        </w:r>
      </w:hyperlink>
      <w:r>
        <w:rPr>
          <w:rFonts w:ascii="Arial" w:hAnsi="Arial" w:cs="Arial"/>
          <w:color w:val="333333"/>
          <w:sz w:val="23"/>
          <w:szCs w:val="23"/>
        </w:rPr>
        <w:t>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19.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приложением № 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 г. № 543н</w:t>
      </w:r>
      <w:hyperlink r:id="rId47" w:anchor="1414141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14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20.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</w:t>
      </w:r>
      <w:r>
        <w:rPr>
          <w:rFonts w:ascii="Arial" w:hAnsi="Arial" w:cs="Arial"/>
          <w:color w:val="333333"/>
          <w:sz w:val="23"/>
          <w:szCs w:val="23"/>
        </w:rPr>
        <w:lastRenderedPageBreak/>
        <w:t>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21.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оказания медицинской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помощи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</w:t>
      </w:r>
      <w:hyperlink r:id="rId48" w:anchor="1515151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15</w:t>
        </w:r>
      </w:hyperlink>
      <w:r>
        <w:rPr>
          <w:rFonts w:ascii="Arial" w:hAnsi="Arial" w:cs="Arial"/>
          <w:color w:val="333333"/>
          <w:sz w:val="23"/>
          <w:szCs w:val="23"/>
        </w:rPr>
        <w:t>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сердечно-сосудистого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риска, и (или) ожирения, и (или)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гиперхолестеринемии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 или фельдшерско-акушерского пункта (по результатам исследований, проведенных в рамках профилактического медицинского осмотра и диспансеризации в данном фельдшерском здравпункте или фельдшерско-акушерском пункте), заполняется карта учета диспансеризации.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сердечно-сосудистом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риске и которые не нуждаются в диспансерном наблюдении по поводу других заболеваний (состояний);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Arial" w:hAnsi="Arial" w:cs="Arial"/>
          <w:color w:val="333333"/>
          <w:sz w:val="23"/>
          <w:szCs w:val="23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сердечно-сосудистом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риске, а также граждане, у которых выявлено ожирение и (или)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гиперхолестеринемия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color w:val="333333"/>
          <w:sz w:val="23"/>
          <w:szCs w:val="23"/>
        </w:rPr>
        <w:lastRenderedPageBreak/>
        <w:t>с уровнем общего холестерина 8 ммоль/л и более, и (или) лица, курящие более 20 сигарет в день, и (или) лица с выявленным риском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сердечно-сосудистым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 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III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а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hyperlink r:id="rId49" w:anchor="1616161" w:history="1">
        <w:r>
          <w:rPr>
            <w:rStyle w:val="a3"/>
            <w:rFonts w:ascii="Arial" w:hAnsi="Arial" w:cs="Arial"/>
            <w:color w:val="808080"/>
            <w:sz w:val="20"/>
            <w:szCs w:val="20"/>
            <w:bdr w:val="none" w:sz="0" w:space="0" w:color="auto" w:frame="1"/>
            <w:vertAlign w:val="superscript"/>
          </w:rPr>
          <w:t>16</w:t>
        </w:r>
      </w:hyperlink>
      <w:r>
        <w:rPr>
          <w:rFonts w:ascii="Arial" w:hAnsi="Arial" w:cs="Arial"/>
          <w:color w:val="333333"/>
          <w:sz w:val="23"/>
          <w:szCs w:val="23"/>
        </w:rPr>
        <w:t>;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III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б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Граждане с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III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а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IIIб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26.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proofErr w:type="gramStart"/>
      <w:r>
        <w:rPr>
          <w:rFonts w:ascii="Arial" w:hAnsi="Arial" w:cs="Arial"/>
          <w:color w:val="333333"/>
          <w:sz w:val="23"/>
          <w:szCs w:val="23"/>
        </w:rPr>
        <w:t>простат-специфического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антигена в крови, которые проводятся в соответствии </w:t>
      </w:r>
      <w:hyperlink r:id="rId50" w:anchor="12000" w:history="1">
        <w:r>
          <w:rPr>
            <w:rStyle w:val="a3"/>
            <w:rFonts w:ascii="Arial" w:hAnsi="Arial" w:cs="Arial"/>
            <w:color w:val="808080"/>
            <w:sz w:val="23"/>
            <w:szCs w:val="23"/>
            <w:bdr w:val="none" w:sz="0" w:space="0" w:color="auto" w:frame="1"/>
          </w:rPr>
          <w:t>приложением № 2</w:t>
        </w:r>
      </w:hyperlink>
      <w:r>
        <w:rPr>
          <w:rFonts w:ascii="Arial" w:hAnsi="Arial" w:cs="Arial"/>
          <w:color w:val="333333"/>
          <w:sz w:val="23"/>
          <w:szCs w:val="23"/>
        </w:rPr>
        <w:t> к настоящему порядку.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BA1C1F" w:rsidRDefault="00BA1C1F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27.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1B02CB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Правила подготовки к диагностическим исследованиям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Уважаемые пациенты, ниже представлены рекомендации для подготовки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proofErr w:type="gram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отдельным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видам исследований.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Соблюдение рекомендаций положительно влияет на точность и достоверность результата.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Точность результатов зависит не только от используемых реактивов и аппаратуры, но и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времени и правильности сбора исследуемого материала. При несоблюдении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основных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 подготовки к анализам их результаты могут быть значительно искажены.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подготовки пациентов к лабораторным исследованиям.</w:t>
      </w:r>
    </w:p>
    <w:p w:rsidR="001B02CB" w:rsidRPr="00E3567E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E3567E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Исследование крови: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Забор всех анализов крови делается до проведения рентгенографии, УЗИ и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физиотерапевтических процедур.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Если у пациента головокружение или слабость, предупреждайте об этом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процедурную сестру — кровь у вас возьмут в положении лежа.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Общий анализ крови, определение группы крови, резус-фактора, биохимические анализы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сдаются натощак, не менее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proofErr w:type="gram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чем 12-ти часов после последнего приема пищи.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 1-2 дня до обследования исключить из рациона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жирное</w:t>
      </w:r>
      <w:proofErr w:type="gram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жареное.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Накануне обследования легкий ужин и хороший отдых.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день обследования – завтракать нельзя (включая употребление чая, кофе или сока),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исключить физические нагрузки, прием лекарств воздержаться от курения.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Если испытываются трудности с отменой лекарств, то обязательно нужно согласовать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лечащим врачом.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Употребление воды на показатели крови влияния не оказывает, поэтому пить воду можно.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Рекомендуем все анализы сдавать в утренние часы, в связи с тем, что показатели крови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существенно меняются в течение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дня</w:t>
      </w:r>
      <w:proofErr w:type="gram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нормативы рассчитаны на этот период суток.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2 дня до обследования необходимо отказаться от алкоголя, жирной и жареной пищи.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1-2 часа до забора крови не курить.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исследованием крови следует максимально снизить физические нагрузки,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избегать эмоционального возбуждения. Минут 10-15 нужно отдохнуть. Перед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сдачей крови необходимо успокоиться, чтобы избежать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немотивированного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выброса в кровь гормонов и увеличение их показателя;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нельзя сдавать кровь сразу после физиотерапевтических процедур,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ультразвукового и рентгенологического исследования, массажа и рефлексотерапии;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sym w:font="Symbol" w:char="F0B7"/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гормональным исследованием крови у женщин репродуктивного возраста</w:t>
      </w:r>
    </w:p>
    <w:p w:rsid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следует придерживаться рекомендаций лечащего врача о дне менструального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цикла, в который необходимо сдать кровь, так как на результат анализа влияют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физиологические факторы фазы менструального цикла.</w:t>
      </w:r>
    </w:p>
    <w:p w:rsidR="001B02CB" w:rsidRPr="00E3567E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E3567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Эндоскопические исследования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Фиброэзофагогастродуоденоскопия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Как правильно подготовиться: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-явка как минимум за 5 минут до назначенного времени;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утром в день исследования до ФЭГДС ЗАПРЕЩАЕТСЯ: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— завтракать и принимать любую пищу, даже если исследование проходит во второй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половине дня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утром в день исследования до ФЭГДС НЕ РЕКОМЕНДУЕТСЯ: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-курить;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-принимать лекарства в таблетках (капсулах) внутрь;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утром в день исследования до проведения ФЭГДС РАЗРЕШАЕТСЯ: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-чистить зубы;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-делать УЗИ брюшной полости и других органов;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-за 2-4 часа пить воду, некрепкий чай с сахаром (без хлеба, варенья, конфет…);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-принимать лекарства, которые можно рассасывать в полости рта, не заглатывая или взять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собой;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-делать уколы, если не требуется после укола прием пищи и нет возможности сделать его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 ФЭГДС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 исследованием нужно снять съемные зубные протезы, очки, галстук.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Накануне вечером: легкоусвояемый (без салатов!) ужин до 18 час.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Никакой специальной диеты перед ФЭГДС не требуется, но: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— шоколад (шоколадные конфеты), семечки, орехи, острые блюда и алкоголь исключить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2 дня;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— при исследовании с 11 часов и позже – желательно утром и за 2-3 часа до процедуры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выпить мелкими глотками один стакан негазированной воды или некрепкого чая (без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варения, конфет, печенья, хлеба и др.);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Важно, что бы: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а) одежда была просторной, ворот и ремень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расстегнуты</w:t>
      </w:r>
      <w:proofErr w:type="gram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духами, одеколоном Вы не пользовались;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 своевременно предупредили врача о наличии у Вас лекарственной, пищевой и иной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аллергии.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Больному с собой необходимо иметь: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— постоянно принимаемые лекарства (принять после осмотра, а под язык или 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спрей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ИБС, бронхиальной астме.. — до осмотра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!</w:t>
      </w:r>
      <w:proofErr w:type="gram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— данные предыдущих исследований ФЭГДС (для определения динамики заболевания)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биопсии (для уточнения показаний к повторной биопсии);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— направление на ФЭГДС исследование (цель исследования, наличие сопутствующих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заболеваний…);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—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полотенце</w:t>
      </w:r>
      <w:proofErr w:type="gram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хорошо впитывающее жидкость или пеленку.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 невозможности явиться в назначенное время просьба заранее позвонить врачу или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там, где Вы записывались!!!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Уважайте себя и берегите время врача!</w:t>
      </w:r>
    </w:p>
    <w:p w:rsidR="001B02CB" w:rsidRPr="00E3567E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proofErr w:type="spellStart"/>
      <w:r w:rsidRPr="00E3567E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Колоноскопия</w:t>
      </w:r>
      <w:proofErr w:type="spell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правильно подготовиться: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Подготовка к 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колоноскипии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 помощью препарата «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Фортранс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два дня до исследования: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рекомендуемая диета: вареное мясо белой рыбы, курицы, яйца, сыр, белый хлеб, масло,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печенье, картофель;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рекомендуется пить достаточное количество жидкости – до 2,5 литров в день (в том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случае</w:t>
      </w:r>
      <w:proofErr w:type="gram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если у Вас нет заболеваний, при которых обильное питье противопоказано –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проконсультируйтесь об этом у врача);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не рекомендуется употреблять в пищу: фрукты и ягоды с косточками, красное мясо,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овощи, злаковые, салат, грибы, орехи, зерновой хлеб, сладости.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день до проведения исследования: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утром – легкий завтрак из рекомендуемых выше продуктов. После завтрака до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окончания исследования нельзя принимать твердую пищу, разрешается только пить;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после завтрака до 17-00 рекомендуется пить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достаточное</w:t>
      </w:r>
      <w:proofErr w:type="gram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очищения кишечника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количество жидкости – до 2 литров (можно пить воду, нежирные бульоны, морсы, соки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без мякоти, чай с сахаром или мёдом, компоты без ягод). Не рекомендуется принимать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молоко, кисель, кефир;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в 17:00 Вам необходимо подготовить раствор 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Фортранса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Для этого: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пакет препарата «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Фортранс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развести в 1,0 литре кипяченой воды комнатной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температуры. Приготовленный раствор 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Фортранса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течение двух часов (с 17:00 до 19:00)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необходимо выпить. Принимать 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Фортранс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следует небольшими порциями, каждые 15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минут по 1 стакану, небольшими глотками;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в 19.00, таким же методом выпить второй пакет препарата «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Фортранс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Через 1-3 часа после начала приема раствора «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Фортранс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у Вас должен появиться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обильный, частый, жидкий стул, который будет способствовать полному очищению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кишечника. Если жидкий стул не появился через 4 часа после начала приема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или появились признаки аллергической реакции, необходимо обратиться к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медицинскому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персоналу и воздержаться от следующего приема препарата.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день проведения исследования: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Утром в 7 необходимо повторить прием 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Фортранса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для полного очищения кишечника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содержимого (1 пакет препарата «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Фортранс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»). Полученный раствор выпить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отдельными небольшими порциями в течение 1 часа (07-00 до 08-00). У Вас вновь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появится жидкий стул, который должен продлиться до полного опорожнения и очищения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кишечника. К 12-00 Вы будете готовы к исследованию. При подготовке к исследованию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препаратом «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Фортранс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выполнение клизм не требуется!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Вам необходимо иметь при себе: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Направление на 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колоноскопию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(если Вы направлены из другого лечебного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учреждения), заключения и протоколы ранее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выполненных</w:t>
      </w:r>
      <w:proofErr w:type="gram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эндоскопических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исследований, ЭКГ (при наличии у Вас сердечно-сосудистых заболеваний).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Залогом успешного проведения 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колоноскопии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является правильная подготовка больного.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Подготовка к обследованию кишечника начинается за 2-3 дня до назначенной даты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исследования. Рекомендуются дополнительные средства, используемые для подготовки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кишечника к исследованию.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 уменьшения вероятности неприятных ощущений во время и после осмотра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назначается кишечный 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спазмолитик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препарат</w:t>
      </w:r>
      <w:proofErr w:type="gram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снимающий спазм кишки) 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Дицетел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 50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мг (1 таблетка) 3 раза в день в суток до исследования и 50 мг непосредственно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перед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колоноскопией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Но-шпа, баралгин, </w:t>
      </w:r>
      <w:proofErr w:type="spell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спазмалгон</w:t>
      </w:r>
      <w:proofErr w:type="spellEnd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другие подобные препараты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малоэффективны.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Как вести себя после исследования?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Сразу же по окончании процедуры можно пить и есть. Если сохраняется чувство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переполнения живота газами и кишка не опорожняется от остатков воздуха </w:t>
      </w:r>
      <w:proofErr w:type="gramStart"/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естественным</w:t>
      </w:r>
      <w:proofErr w:type="gramEnd"/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путем, можно принять 8—10 таблеток мелко истолченного активированного угля,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размешав его в 1/2 стакана теплой кипяченой воды. В течение нескольких часов после</w:t>
      </w:r>
    </w:p>
    <w:p w:rsid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B02C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исследования лучше лежать на животе.</w:t>
      </w:r>
    </w:p>
    <w:p w:rsid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B02CB" w:rsidRPr="0044458A" w:rsidRDefault="001B02CB" w:rsidP="001B02CB">
      <w:r>
        <w:t xml:space="preserve">     </w:t>
      </w:r>
      <w:r>
        <w:rPr>
          <w:b/>
          <w:sz w:val="24"/>
          <w:szCs w:val="24"/>
        </w:rPr>
        <w:t>П</w:t>
      </w:r>
      <w:r w:rsidRPr="001B02CB">
        <w:rPr>
          <w:b/>
          <w:sz w:val="24"/>
          <w:szCs w:val="24"/>
        </w:rPr>
        <w:t>еречень  противопоказаний</w:t>
      </w:r>
      <w:r>
        <w:t xml:space="preserve">  для посещения  Нытвенской РБ с целью прохождения профилактического осмотра и диспансеризации (нахождение в контакте со знакомыми родственниками или коллегами</w:t>
      </w:r>
      <w:proofErr w:type="gramStart"/>
      <w:r>
        <w:t xml:space="preserve"> ,</w:t>
      </w:r>
      <w:proofErr w:type="gramEnd"/>
      <w:r>
        <w:t xml:space="preserve">у которых лабораторно подтвержден диагноз </w:t>
      </w:r>
      <w:proofErr w:type="spellStart"/>
      <w:r>
        <w:t>коронавирусной</w:t>
      </w:r>
      <w:proofErr w:type="spellEnd"/>
      <w:r>
        <w:t xml:space="preserve"> инфекции, повышение температуры тела от 37.5 C и выше ,кашель, одышка, ощущение заложенности в грудной клетке, насморк ,слабость ,головная боль ,боль в горле ,наличие положительного результата исследования мазка из носоглотки /ротоглотки на наличие </w:t>
      </w:r>
      <w:proofErr w:type="gramStart"/>
      <w:r>
        <w:t xml:space="preserve">РНК         </w:t>
      </w:r>
      <w:r>
        <w:rPr>
          <w:lang w:val="en-US"/>
        </w:rPr>
        <w:t>COVID</w:t>
      </w:r>
      <w:r w:rsidRPr="00873E4F">
        <w:t xml:space="preserve"> -19 </w:t>
      </w:r>
      <w:r>
        <w:t>без отрицательного результата по итогам повторного тестирования).</w:t>
      </w:r>
      <w:proofErr w:type="gramEnd"/>
    </w:p>
    <w:p w:rsidR="001B02CB" w:rsidRDefault="001B02CB" w:rsidP="001B02CB">
      <w:r w:rsidRPr="0049533A">
        <w:t xml:space="preserve">С целью </w:t>
      </w:r>
      <w:proofErr w:type="gramStart"/>
      <w:r w:rsidRPr="0049533A">
        <w:t>сокращения</w:t>
      </w:r>
      <w:r>
        <w:rPr>
          <w:sz w:val="20"/>
          <w:szCs w:val="20"/>
        </w:rPr>
        <w:t xml:space="preserve"> </w:t>
      </w:r>
      <w:r w:rsidRPr="0049533A">
        <w:t>времени</w:t>
      </w:r>
      <w:r>
        <w:t xml:space="preserve"> нахождения</w:t>
      </w:r>
      <w:r>
        <w:rPr>
          <w:sz w:val="20"/>
          <w:szCs w:val="20"/>
        </w:rPr>
        <w:t xml:space="preserve"> </w:t>
      </w:r>
      <w:r w:rsidRPr="0049533A">
        <w:t>медицинской организации</w:t>
      </w:r>
      <w:r>
        <w:rPr>
          <w:sz w:val="20"/>
          <w:szCs w:val="20"/>
        </w:rPr>
        <w:t xml:space="preserve"> </w:t>
      </w:r>
      <w:r w:rsidRPr="0049533A">
        <w:t>скачивания</w:t>
      </w:r>
      <w:proofErr w:type="gramEnd"/>
      <w:r w:rsidRPr="0049533A">
        <w:t xml:space="preserve"> </w:t>
      </w:r>
      <w:r>
        <w:t>и заполнения</w:t>
      </w:r>
      <w:r w:rsidRPr="00873E4F">
        <w:rPr>
          <w:sz w:val="20"/>
          <w:szCs w:val="20"/>
        </w:rPr>
        <w:t xml:space="preserve"> </w:t>
      </w:r>
      <w:r>
        <w:t xml:space="preserve">анкеты </w:t>
      </w:r>
      <w:r w:rsidRPr="0049533A">
        <w:t xml:space="preserve"> </w:t>
      </w:r>
      <w:r>
        <w:t xml:space="preserve">до 65 лет </w:t>
      </w:r>
      <w:r w:rsidRPr="0049533A">
        <w:t xml:space="preserve"> старше на выявления </w:t>
      </w:r>
      <w:r>
        <w:t>хронически неинфекционных</w:t>
      </w:r>
      <w:r>
        <w:rPr>
          <w:sz w:val="20"/>
          <w:szCs w:val="20"/>
        </w:rPr>
        <w:t xml:space="preserve"> </w:t>
      </w:r>
      <w:r w:rsidRPr="0049533A">
        <w:t>заболеваний</w:t>
      </w:r>
      <w:r>
        <w:t xml:space="preserve"> и</w:t>
      </w:r>
      <w:r w:rsidRPr="0049533A">
        <w:t xml:space="preserve"> </w:t>
      </w:r>
      <w:r>
        <w:t xml:space="preserve">факторов </w:t>
      </w:r>
      <w:r w:rsidRPr="0049533A">
        <w:t>риска и их развития</w:t>
      </w:r>
      <w:r>
        <w:rPr>
          <w:sz w:val="20"/>
          <w:szCs w:val="20"/>
        </w:rPr>
        <w:t xml:space="preserve"> </w:t>
      </w:r>
      <w:r w:rsidRPr="0049533A">
        <w:t>на сайте</w:t>
      </w:r>
      <w:r>
        <w:rPr>
          <w:sz w:val="20"/>
          <w:szCs w:val="20"/>
        </w:rPr>
        <w:t xml:space="preserve">  </w:t>
      </w:r>
      <w:r w:rsidRPr="0049533A">
        <w:t xml:space="preserve">медицинской организации. </w:t>
      </w:r>
    </w:p>
    <w:p w:rsidR="001B02CB" w:rsidRPr="001B02CB" w:rsidRDefault="001B02CB" w:rsidP="001B02C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3567E" w:rsidRDefault="00E3567E" w:rsidP="00E3567E">
      <w:pPr>
        <w:spacing w:line="1" w:lineRule="exact"/>
        <w:rPr>
          <w:sz w:val="20"/>
          <w:szCs w:val="20"/>
        </w:rPr>
      </w:pPr>
    </w:p>
    <w:p w:rsidR="00E3567E" w:rsidRPr="002C6C6D" w:rsidRDefault="00E3567E" w:rsidP="00E3567E">
      <w:pPr>
        <w:rPr>
          <w:sz w:val="20"/>
          <w:szCs w:val="20"/>
        </w:rPr>
      </w:pPr>
    </w:p>
    <w:p w:rsidR="00E3567E" w:rsidRDefault="00E3567E" w:rsidP="00E3567E">
      <w:pPr>
        <w:rPr>
          <w:sz w:val="20"/>
          <w:szCs w:val="20"/>
        </w:rPr>
      </w:pPr>
    </w:p>
    <w:p w:rsidR="00E3567E" w:rsidRDefault="00E3567E" w:rsidP="00E3567E">
      <w:pPr>
        <w:tabs>
          <w:tab w:val="left" w:pos="6915"/>
        </w:tabs>
        <w:rPr>
          <w:sz w:val="20"/>
          <w:szCs w:val="20"/>
        </w:rPr>
      </w:pPr>
    </w:p>
    <w:p w:rsidR="001B02CB" w:rsidRDefault="001B02CB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B02CB" w:rsidRDefault="001B02CB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B02CB" w:rsidRDefault="001B02CB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1B02CB" w:rsidRDefault="001B02CB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A53725" w:rsidRDefault="00A53725" w:rsidP="00BA1C1F">
      <w:pPr>
        <w:pStyle w:val="a4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</w:t>
      </w:r>
    </w:p>
    <w:p w:rsidR="00AF065F" w:rsidRDefault="0049533A" w:rsidP="001B02CB">
      <w:r>
        <w:t xml:space="preserve">     </w:t>
      </w:r>
      <w:r w:rsidR="000D387F" w:rsidRPr="0049533A">
        <w:t xml:space="preserve"> </w:t>
      </w:r>
    </w:p>
    <w:p w:rsidR="0049533A" w:rsidRDefault="0049533A"/>
    <w:p w:rsidR="0049533A" w:rsidRPr="0049533A" w:rsidRDefault="0049533A"/>
    <w:p w:rsidR="00AF065F" w:rsidRPr="00873E4F" w:rsidRDefault="00AF065F">
      <w:pPr>
        <w:rPr>
          <w:sz w:val="20"/>
          <w:szCs w:val="20"/>
        </w:rPr>
      </w:pPr>
    </w:p>
    <w:p w:rsidR="00AF065F" w:rsidRDefault="00AF065F"/>
    <w:p w:rsidR="006D23E6" w:rsidRDefault="006D23E6"/>
    <w:sectPr w:rsidR="006D23E6" w:rsidSect="00AB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6AC6056"/>
    <w:lvl w:ilvl="0" w:tplc="1E261770">
      <w:start w:val="26"/>
      <w:numFmt w:val="decimal"/>
      <w:lvlText w:val="%1."/>
      <w:lvlJc w:val="left"/>
    </w:lvl>
    <w:lvl w:ilvl="1" w:tplc="7066883E">
      <w:numFmt w:val="decimal"/>
      <w:lvlText w:val=""/>
      <w:lvlJc w:val="left"/>
    </w:lvl>
    <w:lvl w:ilvl="2" w:tplc="282C7F06">
      <w:numFmt w:val="decimal"/>
      <w:lvlText w:val=""/>
      <w:lvlJc w:val="left"/>
    </w:lvl>
    <w:lvl w:ilvl="3" w:tplc="AE34AC24">
      <w:numFmt w:val="decimal"/>
      <w:lvlText w:val=""/>
      <w:lvlJc w:val="left"/>
    </w:lvl>
    <w:lvl w:ilvl="4" w:tplc="676C1412">
      <w:numFmt w:val="decimal"/>
      <w:lvlText w:val=""/>
      <w:lvlJc w:val="left"/>
    </w:lvl>
    <w:lvl w:ilvl="5" w:tplc="7102CEC4">
      <w:numFmt w:val="decimal"/>
      <w:lvlText w:val=""/>
      <w:lvlJc w:val="left"/>
    </w:lvl>
    <w:lvl w:ilvl="6" w:tplc="CC1C0610">
      <w:numFmt w:val="decimal"/>
      <w:lvlText w:val=""/>
      <w:lvlJc w:val="left"/>
    </w:lvl>
    <w:lvl w:ilvl="7" w:tplc="0DD2A0EE">
      <w:numFmt w:val="decimal"/>
      <w:lvlText w:val=""/>
      <w:lvlJc w:val="left"/>
    </w:lvl>
    <w:lvl w:ilvl="8" w:tplc="3794A2B8">
      <w:numFmt w:val="decimal"/>
      <w:lvlText w:val=""/>
      <w:lvlJc w:val="left"/>
    </w:lvl>
  </w:abstractNum>
  <w:abstractNum w:abstractNumId="1">
    <w:nsid w:val="00003D6C"/>
    <w:multiLevelType w:val="hybridMultilevel"/>
    <w:tmpl w:val="24460FF2"/>
    <w:lvl w:ilvl="0" w:tplc="2B886CA8">
      <w:start w:val="20"/>
      <w:numFmt w:val="decimal"/>
      <w:lvlText w:val="%1."/>
      <w:lvlJc w:val="left"/>
    </w:lvl>
    <w:lvl w:ilvl="1" w:tplc="07189EE8">
      <w:numFmt w:val="decimal"/>
      <w:lvlText w:val=""/>
      <w:lvlJc w:val="left"/>
    </w:lvl>
    <w:lvl w:ilvl="2" w:tplc="C9044A1E">
      <w:numFmt w:val="decimal"/>
      <w:lvlText w:val=""/>
      <w:lvlJc w:val="left"/>
    </w:lvl>
    <w:lvl w:ilvl="3" w:tplc="C41A8E82">
      <w:numFmt w:val="decimal"/>
      <w:lvlText w:val=""/>
      <w:lvlJc w:val="left"/>
    </w:lvl>
    <w:lvl w:ilvl="4" w:tplc="793A4AF4">
      <w:numFmt w:val="decimal"/>
      <w:lvlText w:val=""/>
      <w:lvlJc w:val="left"/>
    </w:lvl>
    <w:lvl w:ilvl="5" w:tplc="D3FAC908">
      <w:numFmt w:val="decimal"/>
      <w:lvlText w:val=""/>
      <w:lvlJc w:val="left"/>
    </w:lvl>
    <w:lvl w:ilvl="6" w:tplc="DCE035D0">
      <w:numFmt w:val="decimal"/>
      <w:lvlText w:val=""/>
      <w:lvlJc w:val="left"/>
    </w:lvl>
    <w:lvl w:ilvl="7" w:tplc="EC063308">
      <w:numFmt w:val="decimal"/>
      <w:lvlText w:val=""/>
      <w:lvlJc w:val="left"/>
    </w:lvl>
    <w:lvl w:ilvl="8" w:tplc="3AD451AC">
      <w:numFmt w:val="decimal"/>
      <w:lvlText w:val=""/>
      <w:lvlJc w:val="left"/>
    </w:lvl>
  </w:abstractNum>
  <w:abstractNum w:abstractNumId="2">
    <w:nsid w:val="00004AE1"/>
    <w:multiLevelType w:val="hybridMultilevel"/>
    <w:tmpl w:val="43684BB2"/>
    <w:lvl w:ilvl="0" w:tplc="4A6A4EE8">
      <w:start w:val="1"/>
      <w:numFmt w:val="decimal"/>
      <w:lvlText w:val="%1."/>
      <w:lvlJc w:val="left"/>
    </w:lvl>
    <w:lvl w:ilvl="1" w:tplc="9C2A8702">
      <w:numFmt w:val="decimal"/>
      <w:lvlText w:val=""/>
      <w:lvlJc w:val="left"/>
    </w:lvl>
    <w:lvl w:ilvl="2" w:tplc="CC78934E">
      <w:numFmt w:val="decimal"/>
      <w:lvlText w:val=""/>
      <w:lvlJc w:val="left"/>
    </w:lvl>
    <w:lvl w:ilvl="3" w:tplc="A50088E4">
      <w:numFmt w:val="decimal"/>
      <w:lvlText w:val=""/>
      <w:lvlJc w:val="left"/>
    </w:lvl>
    <w:lvl w:ilvl="4" w:tplc="2F2649EC">
      <w:numFmt w:val="decimal"/>
      <w:lvlText w:val=""/>
      <w:lvlJc w:val="left"/>
    </w:lvl>
    <w:lvl w:ilvl="5" w:tplc="4214667A">
      <w:numFmt w:val="decimal"/>
      <w:lvlText w:val=""/>
      <w:lvlJc w:val="left"/>
    </w:lvl>
    <w:lvl w:ilvl="6" w:tplc="E9EA792A">
      <w:numFmt w:val="decimal"/>
      <w:lvlText w:val=""/>
      <w:lvlJc w:val="left"/>
    </w:lvl>
    <w:lvl w:ilvl="7" w:tplc="A2C270BE">
      <w:numFmt w:val="decimal"/>
      <w:lvlText w:val=""/>
      <w:lvlJc w:val="left"/>
    </w:lvl>
    <w:lvl w:ilvl="8" w:tplc="9A6EF630">
      <w:numFmt w:val="decimal"/>
      <w:lvlText w:val=""/>
      <w:lvlJc w:val="left"/>
    </w:lvl>
  </w:abstractNum>
  <w:abstractNum w:abstractNumId="3">
    <w:nsid w:val="000072AE"/>
    <w:multiLevelType w:val="hybridMultilevel"/>
    <w:tmpl w:val="0DCE02D8"/>
    <w:lvl w:ilvl="0" w:tplc="7F30B6F2">
      <w:start w:val="27"/>
      <w:numFmt w:val="decimal"/>
      <w:lvlText w:val="%1."/>
      <w:lvlJc w:val="left"/>
    </w:lvl>
    <w:lvl w:ilvl="1" w:tplc="DAC0BBB0">
      <w:numFmt w:val="decimal"/>
      <w:lvlText w:val=""/>
      <w:lvlJc w:val="left"/>
    </w:lvl>
    <w:lvl w:ilvl="2" w:tplc="0900A728">
      <w:numFmt w:val="decimal"/>
      <w:lvlText w:val=""/>
      <w:lvlJc w:val="left"/>
    </w:lvl>
    <w:lvl w:ilvl="3" w:tplc="460A4DAA">
      <w:numFmt w:val="decimal"/>
      <w:lvlText w:val=""/>
      <w:lvlJc w:val="left"/>
    </w:lvl>
    <w:lvl w:ilvl="4" w:tplc="D4D0B8AE">
      <w:numFmt w:val="decimal"/>
      <w:lvlText w:val=""/>
      <w:lvlJc w:val="left"/>
    </w:lvl>
    <w:lvl w:ilvl="5" w:tplc="84B69C5E">
      <w:numFmt w:val="decimal"/>
      <w:lvlText w:val=""/>
      <w:lvlJc w:val="left"/>
    </w:lvl>
    <w:lvl w:ilvl="6" w:tplc="6DB89B28">
      <w:numFmt w:val="decimal"/>
      <w:lvlText w:val=""/>
      <w:lvlJc w:val="left"/>
    </w:lvl>
    <w:lvl w:ilvl="7" w:tplc="BDF4B98C">
      <w:numFmt w:val="decimal"/>
      <w:lvlText w:val=""/>
      <w:lvlJc w:val="left"/>
    </w:lvl>
    <w:lvl w:ilvl="8" w:tplc="E458939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855"/>
    <w:rsid w:val="000D387F"/>
    <w:rsid w:val="001B02CB"/>
    <w:rsid w:val="001E58E5"/>
    <w:rsid w:val="002645F7"/>
    <w:rsid w:val="0044458A"/>
    <w:rsid w:val="0049533A"/>
    <w:rsid w:val="0067475E"/>
    <w:rsid w:val="006D23E6"/>
    <w:rsid w:val="00873E4F"/>
    <w:rsid w:val="009E5452"/>
    <w:rsid w:val="00A53725"/>
    <w:rsid w:val="00AB3A64"/>
    <w:rsid w:val="00AE3855"/>
    <w:rsid w:val="00AF065F"/>
    <w:rsid w:val="00BA1C1F"/>
    <w:rsid w:val="00E3567E"/>
    <w:rsid w:val="00FD198A"/>
    <w:rsid w:val="00FE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64"/>
  </w:style>
  <w:style w:type="paragraph" w:styleId="2">
    <w:name w:val="heading 2"/>
    <w:basedOn w:val="a"/>
    <w:link w:val="20"/>
    <w:uiPriority w:val="9"/>
    <w:qFormat/>
    <w:rsid w:val="00BA1C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A1C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5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A1C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C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BA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BA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2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2130858/" TargetMode="External"/><Relationship Id="rId18" Type="http://schemas.openxmlformats.org/officeDocument/2006/relationships/hyperlink" Target="https://www.garant.ru/products/ipo/prime/doc/72130858/" TargetMode="External"/><Relationship Id="rId26" Type="http://schemas.openxmlformats.org/officeDocument/2006/relationships/hyperlink" Target="https://www.garant.ru/products/ipo/prime/doc/72130858/" TargetMode="External"/><Relationship Id="rId39" Type="http://schemas.openxmlformats.org/officeDocument/2006/relationships/hyperlink" Target="https://www.garant.ru/products/ipo/prime/doc/7213085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2130858/" TargetMode="External"/><Relationship Id="rId34" Type="http://schemas.openxmlformats.org/officeDocument/2006/relationships/hyperlink" Target="https://www.garant.ru/products/ipo/prime/doc/72130858/" TargetMode="External"/><Relationship Id="rId42" Type="http://schemas.openxmlformats.org/officeDocument/2006/relationships/hyperlink" Target="https://www.garant.ru/products/ipo/prime/doc/72130858/" TargetMode="External"/><Relationship Id="rId47" Type="http://schemas.openxmlformats.org/officeDocument/2006/relationships/hyperlink" Target="https://www.garant.ru/products/ipo/prime/doc/72130858/" TargetMode="External"/><Relationship Id="rId50" Type="http://schemas.openxmlformats.org/officeDocument/2006/relationships/hyperlink" Target="https://www.garant.ru/products/ipo/prime/doc/72130858/" TargetMode="External"/><Relationship Id="rId7" Type="http://schemas.openxmlformats.org/officeDocument/2006/relationships/hyperlink" Target="https://www.garant.ru/products/ipo/prime/doc/72130858/" TargetMode="External"/><Relationship Id="rId12" Type="http://schemas.openxmlformats.org/officeDocument/2006/relationships/hyperlink" Target="https://www.garant.ru/products/ipo/prime/doc/72130858/" TargetMode="External"/><Relationship Id="rId17" Type="http://schemas.openxmlformats.org/officeDocument/2006/relationships/hyperlink" Target="https://www.garant.ru/products/ipo/prime/doc/72130858/" TargetMode="External"/><Relationship Id="rId25" Type="http://schemas.openxmlformats.org/officeDocument/2006/relationships/hyperlink" Target="https://www.garant.ru/products/ipo/prime/doc/72130858/" TargetMode="External"/><Relationship Id="rId33" Type="http://schemas.openxmlformats.org/officeDocument/2006/relationships/hyperlink" Target="https://www.garant.ru/products/ipo/prime/doc/72130858/" TargetMode="External"/><Relationship Id="rId38" Type="http://schemas.openxmlformats.org/officeDocument/2006/relationships/hyperlink" Target="https://www.garant.ru/products/ipo/prime/doc/72130858/" TargetMode="External"/><Relationship Id="rId46" Type="http://schemas.openxmlformats.org/officeDocument/2006/relationships/hyperlink" Target="https://www.garant.ru/products/ipo/prime/doc/721308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2130858/" TargetMode="External"/><Relationship Id="rId20" Type="http://schemas.openxmlformats.org/officeDocument/2006/relationships/hyperlink" Target="https://www.garant.ru/products/ipo/prime/doc/72130858/" TargetMode="External"/><Relationship Id="rId29" Type="http://schemas.openxmlformats.org/officeDocument/2006/relationships/hyperlink" Target="https://www.garant.ru/products/ipo/prime/doc/72130858/" TargetMode="External"/><Relationship Id="rId41" Type="http://schemas.openxmlformats.org/officeDocument/2006/relationships/hyperlink" Target="https://www.garant.ru/products/ipo/prime/doc/7213085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130858/" TargetMode="External"/><Relationship Id="rId11" Type="http://schemas.openxmlformats.org/officeDocument/2006/relationships/hyperlink" Target="https://www.garant.ru/products/ipo/prime/doc/72130858/" TargetMode="External"/><Relationship Id="rId24" Type="http://schemas.openxmlformats.org/officeDocument/2006/relationships/hyperlink" Target="https://www.garant.ru/products/ipo/prime/doc/72130858/" TargetMode="External"/><Relationship Id="rId32" Type="http://schemas.openxmlformats.org/officeDocument/2006/relationships/hyperlink" Target="https://www.garant.ru/products/ipo/prime/doc/72130858/" TargetMode="External"/><Relationship Id="rId37" Type="http://schemas.openxmlformats.org/officeDocument/2006/relationships/hyperlink" Target="https://www.garant.ru/products/ipo/prime/doc/72130858/" TargetMode="External"/><Relationship Id="rId40" Type="http://schemas.openxmlformats.org/officeDocument/2006/relationships/hyperlink" Target="https://www.garant.ru/products/ipo/prime/doc/72130858/" TargetMode="External"/><Relationship Id="rId45" Type="http://schemas.openxmlformats.org/officeDocument/2006/relationships/hyperlink" Target="https://www.garant.ru/products/ipo/prime/doc/72130858/" TargetMode="External"/><Relationship Id="rId5" Type="http://schemas.openxmlformats.org/officeDocument/2006/relationships/hyperlink" Target="http://www.gosuslugi" TargetMode="External"/><Relationship Id="rId15" Type="http://schemas.openxmlformats.org/officeDocument/2006/relationships/hyperlink" Target="https://www.garant.ru/products/ipo/prime/doc/72130858/" TargetMode="External"/><Relationship Id="rId23" Type="http://schemas.openxmlformats.org/officeDocument/2006/relationships/hyperlink" Target="https://www.garant.ru/products/ipo/prime/doc/72130858/" TargetMode="External"/><Relationship Id="rId28" Type="http://schemas.openxmlformats.org/officeDocument/2006/relationships/hyperlink" Target="https://www.garant.ru/products/ipo/prime/doc/72130858/" TargetMode="External"/><Relationship Id="rId36" Type="http://schemas.openxmlformats.org/officeDocument/2006/relationships/hyperlink" Target="https://www.garant.ru/products/ipo/prime/doc/72130858/" TargetMode="External"/><Relationship Id="rId49" Type="http://schemas.openxmlformats.org/officeDocument/2006/relationships/hyperlink" Target="https://www.garant.ru/products/ipo/prime/doc/72130858/" TargetMode="External"/><Relationship Id="rId10" Type="http://schemas.openxmlformats.org/officeDocument/2006/relationships/hyperlink" Target="https://www.garant.ru/products/ipo/prime/doc/72130858/" TargetMode="External"/><Relationship Id="rId19" Type="http://schemas.openxmlformats.org/officeDocument/2006/relationships/hyperlink" Target="https://www.garant.ru/products/ipo/prime/doc/72130858/" TargetMode="External"/><Relationship Id="rId31" Type="http://schemas.openxmlformats.org/officeDocument/2006/relationships/hyperlink" Target="https://www.garant.ru/products/ipo/prime/doc/72130858/" TargetMode="External"/><Relationship Id="rId44" Type="http://schemas.openxmlformats.org/officeDocument/2006/relationships/hyperlink" Target="https://www.garant.ru/products/ipo/prime/doc/72130858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130858/" TargetMode="External"/><Relationship Id="rId14" Type="http://schemas.openxmlformats.org/officeDocument/2006/relationships/hyperlink" Target="https://www.garant.ru/products/ipo/prime/doc/72130858/" TargetMode="External"/><Relationship Id="rId22" Type="http://schemas.openxmlformats.org/officeDocument/2006/relationships/hyperlink" Target="https://www.garant.ru/products/ipo/prime/doc/72130858/" TargetMode="External"/><Relationship Id="rId27" Type="http://schemas.openxmlformats.org/officeDocument/2006/relationships/hyperlink" Target="https://www.garant.ru/products/ipo/prime/doc/72130858/" TargetMode="External"/><Relationship Id="rId30" Type="http://schemas.openxmlformats.org/officeDocument/2006/relationships/hyperlink" Target="https://www.garant.ru/products/ipo/prime/doc/72130858/" TargetMode="External"/><Relationship Id="rId35" Type="http://schemas.openxmlformats.org/officeDocument/2006/relationships/hyperlink" Target="https://www.garant.ru/products/ipo/prime/doc/72130858/" TargetMode="External"/><Relationship Id="rId43" Type="http://schemas.openxmlformats.org/officeDocument/2006/relationships/hyperlink" Target="https://www.garant.ru/products/ipo/prime/doc/72130858/" TargetMode="External"/><Relationship Id="rId48" Type="http://schemas.openxmlformats.org/officeDocument/2006/relationships/hyperlink" Target="https://www.garant.ru/products/ipo/prime/doc/72130858/" TargetMode="External"/><Relationship Id="rId8" Type="http://schemas.openxmlformats.org/officeDocument/2006/relationships/hyperlink" Target="https://www.garant.ru/products/ipo/prime/doc/72130858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20</Pages>
  <Words>8562</Words>
  <Characters>48810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</dc:creator>
  <cp:keywords/>
  <dc:description/>
  <cp:lastModifiedBy>zUKO</cp:lastModifiedBy>
  <cp:revision>5</cp:revision>
  <dcterms:created xsi:type="dcterms:W3CDTF">2020-08-14T03:51:00Z</dcterms:created>
  <dcterms:modified xsi:type="dcterms:W3CDTF">2020-08-14T09:14:00Z</dcterms:modified>
</cp:coreProperties>
</file>